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91AFD" w14:textId="77777777" w:rsidR="009652EB" w:rsidRPr="002F1867" w:rsidRDefault="009652EB" w:rsidP="009652EB">
      <w:pPr>
        <w:jc w:val="center"/>
      </w:pPr>
      <w:r w:rsidRPr="002F1867">
        <w:rPr>
          <w:noProof/>
        </w:rPr>
        <w:drawing>
          <wp:inline distT="0" distB="0" distL="0" distR="0" wp14:anchorId="6CB27FF0" wp14:editId="16E31A05">
            <wp:extent cx="2552700"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52700" cy="314325"/>
                    </a:xfrm>
                    <a:prstGeom prst="rect">
                      <a:avLst/>
                    </a:prstGeom>
                  </pic:spPr>
                </pic:pic>
              </a:graphicData>
            </a:graphic>
          </wp:inline>
        </w:drawing>
      </w:r>
    </w:p>
    <w:p w14:paraId="470D341A" w14:textId="77777777" w:rsidR="009652EB" w:rsidRPr="002F1867" w:rsidRDefault="009652EB" w:rsidP="009652EB">
      <w:pPr>
        <w:jc w:val="center"/>
      </w:pPr>
    </w:p>
    <w:p w14:paraId="60949B44" w14:textId="77777777" w:rsidR="009652EB" w:rsidRPr="002F1867" w:rsidRDefault="009652EB" w:rsidP="009652EB">
      <w:pPr>
        <w:jc w:val="center"/>
        <w:rPr>
          <w:b/>
        </w:rPr>
      </w:pPr>
      <w:r w:rsidRPr="002F1867">
        <w:rPr>
          <w:b/>
        </w:rPr>
        <w:t>CLIENT ALERT</w:t>
      </w:r>
    </w:p>
    <w:p w14:paraId="40156708" w14:textId="77777777" w:rsidR="009652EB" w:rsidRPr="002F1867" w:rsidRDefault="009652EB" w:rsidP="009652EB">
      <w:pPr>
        <w:jc w:val="center"/>
        <w:rPr>
          <w:b/>
        </w:rPr>
      </w:pPr>
    </w:p>
    <w:p w14:paraId="101E63E4" w14:textId="0F9F87B2" w:rsidR="009652EB" w:rsidRPr="002F1867" w:rsidRDefault="00B204F1" w:rsidP="009652EB">
      <w:pPr>
        <w:jc w:val="center"/>
      </w:pPr>
      <w:r>
        <w:t>January 2018</w:t>
      </w:r>
    </w:p>
    <w:p w14:paraId="78EAEE54" w14:textId="77777777" w:rsidR="009652EB" w:rsidRPr="002F1867" w:rsidRDefault="009652EB" w:rsidP="009652EB">
      <w:pPr>
        <w:jc w:val="center"/>
      </w:pPr>
    </w:p>
    <w:p w14:paraId="67C5F7D0" w14:textId="77777777" w:rsidR="009652EB" w:rsidRPr="002F1867" w:rsidRDefault="009652EB" w:rsidP="009652EB">
      <w:pPr>
        <w:jc w:val="center"/>
        <w:rPr>
          <w:b/>
          <w:caps/>
        </w:rPr>
      </w:pPr>
      <w:bookmarkStart w:id="0" w:name="_GoBack"/>
      <w:r w:rsidRPr="002F1867">
        <w:rPr>
          <w:b/>
          <w:caps/>
        </w:rPr>
        <w:t>MANDATORY ARBITRATION AGREEMENTS UNDER FIRE (AGAIN):</w:t>
      </w:r>
    </w:p>
    <w:p w14:paraId="30C0C499" w14:textId="77777777" w:rsidR="009652EB" w:rsidRPr="002F1867" w:rsidRDefault="009652EB" w:rsidP="009652EB">
      <w:pPr>
        <w:jc w:val="center"/>
        <w:rPr>
          <w:rFonts w:ascii="Times New Roman Bold" w:hAnsi="Times New Roman Bold"/>
          <w:b/>
        </w:rPr>
      </w:pPr>
      <w:r w:rsidRPr="002F1867">
        <w:rPr>
          <w:rFonts w:ascii="Times New Roman Bold" w:hAnsi="Times New Roman Bold"/>
          <w:b/>
        </w:rPr>
        <w:t>Congress Considers Bill Preventing Forced Arbitration for Sexual Harassment Claims</w:t>
      </w:r>
    </w:p>
    <w:bookmarkEnd w:id="0"/>
    <w:p w14:paraId="6E42F9D8" w14:textId="77777777" w:rsidR="009652EB" w:rsidRPr="002F1867" w:rsidRDefault="009652EB" w:rsidP="009652EB">
      <w:pPr>
        <w:jc w:val="center"/>
      </w:pPr>
      <w:r w:rsidRPr="002F1867">
        <w:rPr>
          <w:rFonts w:ascii="Times New Roman Bold" w:hAnsi="Times New Roman Bold"/>
          <w:b/>
        </w:rPr>
        <w:t xml:space="preserve"> </w:t>
      </w:r>
    </w:p>
    <w:p w14:paraId="1A77D2A0" w14:textId="77777777" w:rsidR="009652EB" w:rsidRPr="002F1867" w:rsidRDefault="009652EB" w:rsidP="009652EB">
      <w:pPr>
        <w:jc w:val="center"/>
        <w:rPr>
          <w:b/>
        </w:rPr>
      </w:pPr>
      <w:r w:rsidRPr="002F1867">
        <w:rPr>
          <w:b/>
        </w:rPr>
        <w:t>Gregory T. Laudadio</w:t>
      </w:r>
      <w:r w:rsidR="00543D94" w:rsidRPr="002F1867">
        <w:rPr>
          <w:b/>
        </w:rPr>
        <w:t>, Esq.</w:t>
      </w:r>
    </w:p>
    <w:p w14:paraId="01D8010C" w14:textId="77777777" w:rsidR="009652EB" w:rsidRPr="002F1867" w:rsidRDefault="009652EB" w:rsidP="009652EB">
      <w:pPr>
        <w:jc w:val="center"/>
        <w:rPr>
          <w:b/>
        </w:rPr>
      </w:pPr>
    </w:p>
    <w:p w14:paraId="56ACD052" w14:textId="77777777" w:rsidR="009652EB" w:rsidRPr="002F1867" w:rsidRDefault="009652EB" w:rsidP="009652EB">
      <w:pPr>
        <w:jc w:val="center"/>
        <w:rPr>
          <w:b/>
        </w:rPr>
        <w:sectPr w:rsidR="009652EB" w:rsidRPr="002F1867">
          <w:footerReference w:type="default" r:id="rId8"/>
          <w:pgSz w:w="12240" w:h="15840"/>
          <w:pgMar w:top="1440" w:right="1440" w:bottom="1440" w:left="1440" w:header="720" w:footer="720" w:gutter="0"/>
          <w:cols w:space="720"/>
          <w:docGrid w:linePitch="360"/>
        </w:sectPr>
      </w:pPr>
    </w:p>
    <w:p w14:paraId="3EC0C504" w14:textId="62C46042" w:rsidR="009652EB" w:rsidRPr="002F1867" w:rsidRDefault="009324E2" w:rsidP="009652EB">
      <w:r w:rsidRPr="002F1867">
        <w:t xml:space="preserve">As we reported in our </w:t>
      </w:r>
      <w:r w:rsidR="009652EB" w:rsidRPr="002F1867">
        <w:t>October 2</w:t>
      </w:r>
      <w:r w:rsidRPr="002F1867">
        <w:t>0</w:t>
      </w:r>
      <w:r w:rsidR="009652EB" w:rsidRPr="002F1867">
        <w:t>,</w:t>
      </w:r>
      <w:r w:rsidRPr="002F1867">
        <w:t xml:space="preserve"> 2017 Alert, </w:t>
      </w:r>
      <w:r w:rsidRPr="002F1867">
        <w:rPr>
          <w:i/>
        </w:rPr>
        <w:t>Under Fire: Supreme Court to Review Mandatory Employee Class Action Waivers</w:t>
      </w:r>
      <w:r w:rsidRPr="002F1867">
        <w:t>,</w:t>
      </w:r>
      <w:r w:rsidRPr="002F1867">
        <w:rPr>
          <w:rStyle w:val="FootnoteReference"/>
        </w:rPr>
        <w:footnoteReference w:id="1"/>
      </w:r>
      <w:r w:rsidR="009652EB" w:rsidRPr="002F1867">
        <w:t xml:space="preserve"> </w:t>
      </w:r>
      <w:r w:rsidRPr="002F1867">
        <w:t xml:space="preserve">mandatory employment arbitration agreements have been the target of </w:t>
      </w:r>
      <w:r w:rsidR="00996915" w:rsidRPr="002F1867">
        <w:t>significant</w:t>
      </w:r>
      <w:r w:rsidRPr="002F1867">
        <w:t xml:space="preserve"> reform efforts.  Currently, </w:t>
      </w:r>
      <w:r w:rsidR="009652EB" w:rsidRPr="002F1867">
        <w:t>the United States Supreme Court</w:t>
      </w:r>
      <w:r w:rsidRPr="002F1867">
        <w:t xml:space="preserve"> is considering the </w:t>
      </w:r>
      <w:r w:rsidR="00CE6D3C" w:rsidRPr="002F1867">
        <w:t xml:space="preserve">enforceability of </w:t>
      </w:r>
      <w:r w:rsidRPr="002F1867">
        <w:t>arbitration agreements that bar collective or class action suits</w:t>
      </w:r>
      <w:r w:rsidR="002F1867" w:rsidRPr="002F1867">
        <w:rPr>
          <w:rStyle w:val="CommentReference"/>
          <w:sz w:val="24"/>
          <w:szCs w:val="24"/>
        </w:rPr>
        <w:t xml:space="preserve"> of w</w:t>
      </w:r>
      <w:r w:rsidRPr="002F1867">
        <w:t>ork-related claims.</w:t>
      </w:r>
      <w:bookmarkStart w:id="1" w:name="_Ref501440848"/>
      <w:r w:rsidR="009652EB" w:rsidRPr="002F1867">
        <w:rPr>
          <w:rStyle w:val="FootnoteReference"/>
        </w:rPr>
        <w:footnoteReference w:id="2"/>
      </w:r>
      <w:bookmarkEnd w:id="1"/>
      <w:r w:rsidRPr="002F1867">
        <w:t xml:space="preserve">  Now, Congress is consider</w:t>
      </w:r>
      <w:r w:rsidR="000A6278" w:rsidRPr="002F1867">
        <w:t>ing</w:t>
      </w:r>
      <w:r w:rsidRPr="002F1867">
        <w:t xml:space="preserve"> a bill that would </w:t>
      </w:r>
      <w:r w:rsidR="000A6278" w:rsidRPr="002F1867">
        <w:t>outlaw mandatory arbitration agreements that prevent employees fr</w:t>
      </w:r>
      <w:r w:rsidR="00996915" w:rsidRPr="002F1867">
        <w:t>om bringing sexual harassment and</w:t>
      </w:r>
      <w:r w:rsidR="000A6278" w:rsidRPr="002F1867">
        <w:t xml:space="preserve"> gender bias claims in court. </w:t>
      </w:r>
    </w:p>
    <w:p w14:paraId="0452F22A" w14:textId="77777777" w:rsidR="000A6278" w:rsidRPr="002F1867" w:rsidRDefault="000A6278" w:rsidP="009652EB"/>
    <w:p w14:paraId="7D20E236" w14:textId="73B90E4F" w:rsidR="009652EB" w:rsidRDefault="009652EB" w:rsidP="009652EB">
      <w:r w:rsidRPr="002F1867">
        <w:t xml:space="preserve">Mandatory employment arbitration agreements have been legally enforceable for </w:t>
      </w:r>
      <w:r w:rsidR="000A6278" w:rsidRPr="002F1867">
        <w:t>several decades now</w:t>
      </w:r>
      <w:r w:rsidRPr="002F1867">
        <w:t>.</w:t>
      </w:r>
      <w:r w:rsidRPr="002F1867">
        <w:rPr>
          <w:rStyle w:val="FootnoteReference"/>
        </w:rPr>
        <w:footnoteReference w:id="3"/>
      </w:r>
      <w:r w:rsidRPr="002F1867">
        <w:t xml:space="preserve">  Generally, these agreements bar employees from bringing </w:t>
      </w:r>
      <w:r w:rsidR="002F1867">
        <w:t>work</w:t>
      </w:r>
      <w:r w:rsidRPr="002F1867">
        <w:t>-related claims</w:t>
      </w:r>
      <w:r w:rsidR="000A6278" w:rsidRPr="002F1867">
        <w:t>, such as a hostile work environment</w:t>
      </w:r>
      <w:r w:rsidR="008C3505" w:rsidRPr="002F1867">
        <w:t xml:space="preserve"> </w:t>
      </w:r>
      <w:r w:rsidR="003B3172" w:rsidRPr="002F1867">
        <w:t>claim resulting from</w:t>
      </w:r>
      <w:r w:rsidR="008C3505" w:rsidRPr="002F1867">
        <w:t xml:space="preserve"> sexual harassment,</w:t>
      </w:r>
      <w:r w:rsidRPr="002F1867">
        <w:t xml:space="preserve"> against employers in court.</w:t>
      </w:r>
      <w:r w:rsidR="00CE6E9D">
        <w:rPr>
          <w:rStyle w:val="FootnoteReference"/>
        </w:rPr>
        <w:footnoteReference w:id="4"/>
      </w:r>
      <w:r w:rsidRPr="002F1867">
        <w:t xml:space="preserve">  Instead, the claims </w:t>
      </w:r>
      <w:proofErr w:type="gramStart"/>
      <w:r w:rsidRPr="002F1867">
        <w:t>must be arbitrated</w:t>
      </w:r>
      <w:proofErr w:type="gramEnd"/>
      <w:r w:rsidRPr="002F1867">
        <w:t xml:space="preserve"> </w:t>
      </w:r>
      <w:r w:rsidRPr="002F1867">
        <w:t xml:space="preserve">according to procedures outlined in the agreements.  Employment </w:t>
      </w:r>
      <w:proofErr w:type="gramStart"/>
      <w:r w:rsidRPr="002F1867">
        <w:t>is typically conditioned</w:t>
      </w:r>
      <w:proofErr w:type="gramEnd"/>
      <w:r w:rsidRPr="002F1867">
        <w:t xml:space="preserve"> on an employee’s willingness to sign the agreement.  </w:t>
      </w:r>
    </w:p>
    <w:p w14:paraId="1D66D91F" w14:textId="77777777" w:rsidR="0054256E" w:rsidRPr="002F1867" w:rsidRDefault="0054256E" w:rsidP="009652EB"/>
    <w:p w14:paraId="71933138" w14:textId="77777777" w:rsidR="009652EB" w:rsidRPr="002F1867" w:rsidRDefault="009652EB" w:rsidP="009652EB">
      <w:r w:rsidRPr="002F1867">
        <w:t>Mandatory employment arbitration agreements have increasingly become the</w:t>
      </w:r>
      <w:r w:rsidR="008C3505" w:rsidRPr="002F1867">
        <w:t xml:space="preserve"> norm across the United States, with </w:t>
      </w:r>
      <w:r w:rsidRPr="002F1867">
        <w:t xml:space="preserve">over 55% of employees </w:t>
      </w:r>
      <w:r w:rsidR="008C3505" w:rsidRPr="002F1867">
        <w:t>being</w:t>
      </w:r>
      <w:r w:rsidRPr="002F1867">
        <w:t xml:space="preserve"> subject to such agreements.</w:t>
      </w:r>
      <w:r w:rsidRPr="002F1867">
        <w:rPr>
          <w:rStyle w:val="FootnoteReference"/>
        </w:rPr>
        <w:footnoteReference w:id="5"/>
      </w:r>
      <w:r w:rsidR="008C3505" w:rsidRPr="002F1867">
        <w:t xml:space="preserve">  In addition to concerns regarding class/collective action rights,</w:t>
      </w:r>
      <w:r w:rsidR="00343D4C" w:rsidRPr="002F1867">
        <w:t xml:space="preserve"> </w:t>
      </w:r>
      <w:r w:rsidR="008C3505" w:rsidRPr="002F1867">
        <w:t>employee advocates are now focusing on</w:t>
      </w:r>
      <w:r w:rsidR="00343D4C" w:rsidRPr="002F1867">
        <w:t xml:space="preserve"> protections relating to sexual harassment in the workplace.</w:t>
      </w:r>
    </w:p>
    <w:p w14:paraId="36D41812" w14:textId="77777777" w:rsidR="00343D4C" w:rsidRPr="002F1867" w:rsidRDefault="00343D4C" w:rsidP="009652EB"/>
    <w:p w14:paraId="01AC4595" w14:textId="5525FB72" w:rsidR="00343D4C" w:rsidRPr="002F1867" w:rsidRDefault="00A466FF" w:rsidP="003B3172">
      <w:r>
        <w:t xml:space="preserve">In </w:t>
      </w:r>
      <w:r w:rsidR="00343D4C" w:rsidRPr="002F1867">
        <w:t>2017</w:t>
      </w:r>
      <w:r>
        <w:t>, we saw a</w:t>
      </w:r>
      <w:r w:rsidR="00343D4C" w:rsidRPr="002F1867">
        <w:t xml:space="preserve"> barrage of sexual harassment allegations against high-profile </w:t>
      </w:r>
      <w:r w:rsidR="003B3172" w:rsidRPr="002F1867">
        <w:t>individuals</w:t>
      </w:r>
      <w:r w:rsidR="00343D4C" w:rsidRPr="002F1867">
        <w:t xml:space="preserve"> such as Harvey Weinstein, Matt Lauer</w:t>
      </w:r>
      <w:r w:rsidR="003B3172" w:rsidRPr="002F1867">
        <w:t xml:space="preserve">, and </w:t>
      </w:r>
      <w:r w:rsidR="002512EC">
        <w:t xml:space="preserve">Sen. </w:t>
      </w:r>
      <w:r w:rsidR="003B3172" w:rsidRPr="002F1867">
        <w:t>Al Franken</w:t>
      </w:r>
      <w:r w:rsidR="00343D4C" w:rsidRPr="002F1867">
        <w:t>.</w:t>
      </w:r>
      <w:r w:rsidR="002212E8" w:rsidRPr="002F1867">
        <w:t xml:space="preserve">  The scores of women who have </w:t>
      </w:r>
      <w:r w:rsidR="003B3172" w:rsidRPr="002F1867">
        <w:t>spoken out about</w:t>
      </w:r>
      <w:r w:rsidR="002212E8" w:rsidRPr="002F1867">
        <w:t xml:space="preserve"> their experiences have sparked efforts</w:t>
      </w:r>
      <w:r w:rsidR="00A83B7D" w:rsidRPr="002F1867">
        <w:t xml:space="preserve"> </w:t>
      </w:r>
      <w:r w:rsidR="002212E8" w:rsidRPr="002F1867">
        <w:t xml:space="preserve">to expose and </w:t>
      </w:r>
      <w:r w:rsidR="003B3172" w:rsidRPr="002F1867">
        <w:t xml:space="preserve">reform the cultural standards on appropriate conduct, especially in the </w:t>
      </w:r>
      <w:proofErr w:type="gramStart"/>
      <w:r w:rsidR="003B3172" w:rsidRPr="002F1867">
        <w:lastRenderedPageBreak/>
        <w:t>workplac</w:t>
      </w:r>
      <w:r w:rsidR="00A83B7D" w:rsidRPr="002F1867">
        <w:t>e</w:t>
      </w:r>
      <w:proofErr w:type="gramEnd"/>
      <w:r w:rsidR="00A83B7D" w:rsidRPr="002F1867">
        <w:t xml:space="preserve">.  Their efforts </w:t>
      </w:r>
      <w:proofErr w:type="gramStart"/>
      <w:r w:rsidR="00A83B7D" w:rsidRPr="002F1867">
        <w:t>have already been met</w:t>
      </w:r>
      <w:proofErr w:type="gramEnd"/>
      <w:r w:rsidR="00A83B7D" w:rsidRPr="002F1867">
        <w:t xml:space="preserve"> w</w:t>
      </w:r>
      <w:r w:rsidR="00996915" w:rsidRPr="002F1867">
        <w:t>ith signs of success</w:t>
      </w:r>
      <w:r w:rsidR="00121DBF" w:rsidRPr="002F1867">
        <w:t>:</w:t>
      </w:r>
      <w:r w:rsidR="00A83B7D" w:rsidRPr="002F1867">
        <w:t xml:space="preserve"> the sexual assault whistleblowers have</w:t>
      </w:r>
      <w:r w:rsidR="00134DCA" w:rsidRPr="002F1867">
        <w:t xml:space="preserve"> collectively</w:t>
      </w:r>
      <w:r w:rsidR="00A83B7D" w:rsidRPr="002F1867">
        <w:t xml:space="preserve"> been named TIME Magazine’s Person of the Year, and an entire movement aimed at reform called the</w:t>
      </w:r>
      <w:r w:rsidR="003B3172" w:rsidRPr="002F1867">
        <w:t xml:space="preserve"> #</w:t>
      </w:r>
      <w:proofErr w:type="spellStart"/>
      <w:r w:rsidR="003B3172" w:rsidRPr="002F1867">
        <w:t>MeToo</w:t>
      </w:r>
      <w:proofErr w:type="spellEnd"/>
      <w:r w:rsidR="00A83B7D" w:rsidRPr="002F1867">
        <w:t xml:space="preserve"> campaign encourage</w:t>
      </w:r>
      <w:r w:rsidR="00FB2B8B" w:rsidRPr="002F1867">
        <w:t>s</w:t>
      </w:r>
      <w:r w:rsidR="00A83B7D" w:rsidRPr="002F1867">
        <w:t xml:space="preserve"> victims to share their stories.  </w:t>
      </w:r>
    </w:p>
    <w:p w14:paraId="48F60CD7" w14:textId="77777777" w:rsidR="009652EB" w:rsidRPr="002F1867" w:rsidRDefault="009652EB" w:rsidP="009652EB"/>
    <w:p w14:paraId="2257784A" w14:textId="0A441E03" w:rsidR="00A42B6A" w:rsidRPr="002F1867" w:rsidRDefault="00A83B7D" w:rsidP="009652EB">
      <w:r w:rsidRPr="002F1867">
        <w:t xml:space="preserve">Now, efforts </w:t>
      </w:r>
      <w:proofErr w:type="gramStart"/>
      <w:r w:rsidRPr="002F1867">
        <w:t>are being made</w:t>
      </w:r>
      <w:proofErr w:type="gramEnd"/>
      <w:r w:rsidRPr="002F1867">
        <w:t xml:space="preserve"> to affect</w:t>
      </w:r>
      <w:r w:rsidR="00134DCA" w:rsidRPr="002F1867">
        <w:t xml:space="preserve"> long-term</w:t>
      </w:r>
      <w:r w:rsidRPr="002F1867">
        <w:t xml:space="preserve"> change through legislation.</w:t>
      </w:r>
      <w:r w:rsidR="00121D5B" w:rsidRPr="002F1867">
        <w:t xml:space="preserve">  On December 6, 2017, a bipartisan group of legislators introduced a bill that would prevent employers from enforcing mandatory arbitration agreements for claims of sexual harassment or gender bias in the workplace.  </w:t>
      </w:r>
      <w:proofErr w:type="gramStart"/>
      <w:r w:rsidR="00121D5B" w:rsidRPr="002F1867">
        <w:t>The bill, cited as the “Ending Forced Arbitration of Sexual Harassment Act of 2017,” is sponsored by Rep. Cheri Bustos (D-Ill.), Sen. Kristen Gillibrand (D-N.Y.), and Sen. Kamala Harris (D-Calif.)</w:t>
      </w:r>
      <w:proofErr w:type="gramEnd"/>
      <w:r w:rsidR="00121D5B" w:rsidRPr="002F1867">
        <w:t>, with co-sponsorship support from Sen. Lindsey Graham (R-S.C.), Rep. Walter Jones (R-N.C.)</w:t>
      </w:r>
      <w:r w:rsidR="00900C3A">
        <w:t>,</w:t>
      </w:r>
      <w:r w:rsidR="00121D5B" w:rsidRPr="002F1867">
        <w:t xml:space="preserve"> and Rep. Elise Stefanik (R-N.Y.).</w:t>
      </w:r>
      <w:r w:rsidR="001D28E6">
        <w:rPr>
          <w:rStyle w:val="FootnoteReference"/>
        </w:rPr>
        <w:footnoteReference w:id="6"/>
      </w:r>
      <w:r w:rsidR="00543D94" w:rsidRPr="002F1867">
        <w:t xml:space="preserve">  </w:t>
      </w:r>
    </w:p>
    <w:p w14:paraId="10AE73BF" w14:textId="77777777" w:rsidR="00A42B6A" w:rsidRPr="002F1867" w:rsidRDefault="00A42B6A" w:rsidP="009652EB"/>
    <w:p w14:paraId="0F9B1718" w14:textId="2D2C3615" w:rsidR="009652EB" w:rsidRPr="002F1867" w:rsidRDefault="00543D94" w:rsidP="009652EB">
      <w:r w:rsidRPr="002F1867">
        <w:t xml:space="preserve">Former Fox News anchor Gretchen Carlson also </w:t>
      </w:r>
      <w:r w:rsidR="00FB2B8B" w:rsidRPr="002F1867">
        <w:t xml:space="preserve">has </w:t>
      </w:r>
      <w:r w:rsidRPr="002F1867">
        <w:t xml:space="preserve">been a strong advocate for the bill.  Carlson, who was subject to a mandatory arbitration agreement with Fox News, was able to circumvent </w:t>
      </w:r>
      <w:r w:rsidR="00134DCA" w:rsidRPr="002F1867">
        <w:t>her</w:t>
      </w:r>
      <w:r w:rsidRPr="002F1867">
        <w:t xml:space="preserve"> agreement and bring sexual harassment charges in court.  She </w:t>
      </w:r>
      <w:r w:rsidRPr="002F1867">
        <w:t>ultimately agreed to a settlement, but ha</w:t>
      </w:r>
      <w:r w:rsidR="00A42B6A" w:rsidRPr="002F1867">
        <w:t>s since been outspoken about her belief</w:t>
      </w:r>
      <w:r w:rsidR="00FB2B8B" w:rsidRPr="002F1867">
        <w:t xml:space="preserve">, largely based on her own experience, </w:t>
      </w:r>
      <w:r w:rsidR="00A42B6A" w:rsidRPr="002F1867">
        <w:t>that arbitration agreements serve to prot</w:t>
      </w:r>
      <w:r w:rsidR="00996915" w:rsidRPr="002F1867">
        <w:t>ect abusers and silence victims</w:t>
      </w:r>
      <w:r w:rsidR="00FB2B8B" w:rsidRPr="002F1867">
        <w:t>.</w:t>
      </w:r>
      <w:r w:rsidR="00996915" w:rsidRPr="002F1867">
        <w:t xml:space="preserve"> </w:t>
      </w:r>
    </w:p>
    <w:p w14:paraId="4569B670" w14:textId="5CBF3874" w:rsidR="009652EB" w:rsidRPr="002F1867" w:rsidRDefault="00B55F38" w:rsidP="009652EB">
      <w:r w:rsidRPr="002F1867">
        <w:t>As another example of the potential harms caused by arbitration agreements, Rep</w:t>
      </w:r>
      <w:r w:rsidR="00A37488" w:rsidRPr="002F1867">
        <w:t>.</w:t>
      </w:r>
      <w:r w:rsidRPr="002F1867">
        <w:t xml:space="preserve"> Bustos has cited an ongoing dispute inv</w:t>
      </w:r>
      <w:r w:rsidR="00A6477C" w:rsidRPr="002F1867">
        <w:t>olving Sterling Jewelers, Inc. (</w:t>
      </w:r>
      <w:r w:rsidRPr="002F1867">
        <w:t>the parent company of Kay Jewelers and</w:t>
      </w:r>
      <w:r w:rsidR="00A6477C" w:rsidRPr="002F1867">
        <w:t xml:space="preserve"> Jared the Galleria of Jewelry) and </w:t>
      </w:r>
      <w:r w:rsidR="00572309" w:rsidRPr="002F1867">
        <w:t>nearly</w:t>
      </w:r>
      <w:r w:rsidR="00A6477C" w:rsidRPr="002F1867">
        <w:t xml:space="preserve"> 70,000 of Sterling’s current and former employees.  Though the employees did not specifically allege sexual harassment, numerous employees have made declarations rife with examples of highly inappropriate sexual conduct, including “a hot tub orgy, groping at company events and women </w:t>
      </w:r>
      <w:proofErr w:type="gramStart"/>
      <w:r w:rsidR="00A6477C" w:rsidRPr="002F1867">
        <w:t>being recruited</w:t>
      </w:r>
      <w:proofErr w:type="gramEnd"/>
      <w:r w:rsidR="00A6477C" w:rsidRPr="002F1867">
        <w:t xml:space="preserve"> to go out to party with managers as if the store wo</w:t>
      </w:r>
      <w:r w:rsidR="002F7E04" w:rsidRPr="002F1867">
        <w:t>rkers were hired entertainment.”</w:t>
      </w:r>
      <w:r w:rsidR="002F7E04" w:rsidRPr="002F1867">
        <w:rPr>
          <w:rStyle w:val="FootnoteReference"/>
        </w:rPr>
        <w:footnoteReference w:id="7"/>
      </w:r>
      <w:r w:rsidR="002F7E04" w:rsidRPr="002F1867">
        <w:t xml:space="preserve">  </w:t>
      </w:r>
      <w:proofErr w:type="gramStart"/>
      <w:r w:rsidR="000C1E96" w:rsidRPr="002F1867">
        <w:t>The problem that this case highlights, according to Bustos, is that the employees were “forced into a secret arbitration process and that meant that their stories would never see the light of day…</w:t>
      </w:r>
      <w:r w:rsidR="00A37488" w:rsidRPr="002F1867">
        <w:t>.</w:t>
      </w:r>
      <w:r w:rsidR="000C1E96" w:rsidRPr="002F1867">
        <w:t>”</w:t>
      </w:r>
      <w:r w:rsidR="000C1E96" w:rsidRPr="002F1867">
        <w:rPr>
          <w:rStyle w:val="FootnoteReference"/>
        </w:rPr>
        <w:footnoteReference w:id="8"/>
      </w:r>
      <w:r w:rsidR="000C1E96" w:rsidRPr="002F1867">
        <w:t xml:space="preserve">  Additionally, the employe</w:t>
      </w:r>
      <w:r w:rsidR="00572309" w:rsidRPr="002F1867">
        <w:t xml:space="preserve">es were prevented, at least originally, </w:t>
      </w:r>
      <w:r w:rsidR="000C1E96" w:rsidRPr="002F1867">
        <w:t>from bringing their claims on a class/collective basis, drawing even more attention to th</w:t>
      </w:r>
      <w:r w:rsidR="00900C3A">
        <w:t>e current litigation before</w:t>
      </w:r>
      <w:r w:rsidR="000C1E96" w:rsidRPr="002F1867">
        <w:t xml:space="preserve"> the Supreme Court.</w:t>
      </w:r>
      <w:r w:rsidR="00A37488" w:rsidRPr="002F1867">
        <w:rPr>
          <w:rStyle w:val="FootnoteReference"/>
        </w:rPr>
        <w:footnoteReference w:id="9"/>
      </w:r>
      <w:proofErr w:type="gramEnd"/>
      <w:r w:rsidR="00D040B7" w:rsidRPr="002F1867">
        <w:t xml:space="preserve">  The employees </w:t>
      </w:r>
      <w:proofErr w:type="gramStart"/>
      <w:r w:rsidR="00D040B7" w:rsidRPr="002F1867">
        <w:t>were eventually certified</w:t>
      </w:r>
      <w:proofErr w:type="gramEnd"/>
      <w:r w:rsidR="00D040B7" w:rsidRPr="002F1867">
        <w:t xml:space="preserve"> to bring their </w:t>
      </w:r>
      <w:r w:rsidR="00D040B7" w:rsidRPr="002F1867">
        <w:lastRenderedPageBreak/>
        <w:t xml:space="preserve">claims as a class in federal court in 2016, but only after </w:t>
      </w:r>
      <w:r w:rsidR="00D040B7" w:rsidRPr="002F1867">
        <w:rPr>
          <w:i/>
        </w:rPr>
        <w:t>eight years</w:t>
      </w:r>
      <w:r w:rsidR="00D040B7" w:rsidRPr="002F1867">
        <w:t xml:space="preserve"> of proceeding through arbitration</w:t>
      </w:r>
      <w:r w:rsidR="00BD3C4C" w:rsidRPr="002F1867">
        <w:t xml:space="preserve"> and appeals</w:t>
      </w:r>
      <w:r w:rsidR="00D040B7" w:rsidRPr="002F1867">
        <w:t>.</w:t>
      </w:r>
      <w:r w:rsidR="00A37488" w:rsidRPr="002F1867">
        <w:rPr>
          <w:rStyle w:val="FootnoteReference"/>
        </w:rPr>
        <w:footnoteReference w:id="10"/>
      </w:r>
      <w:r w:rsidR="00D040B7" w:rsidRPr="002F1867">
        <w:t xml:space="preserve">  </w:t>
      </w:r>
      <w:r w:rsidR="000C1E96" w:rsidRPr="002F1867">
        <w:t xml:space="preserve">  </w:t>
      </w:r>
    </w:p>
    <w:p w14:paraId="0388CD6B" w14:textId="77777777" w:rsidR="009652EB" w:rsidRPr="002F1867" w:rsidRDefault="009652EB" w:rsidP="009652EB"/>
    <w:p w14:paraId="3F5C06AA" w14:textId="35F3EBB8" w:rsidR="00750ACC" w:rsidRDefault="00C57A52" w:rsidP="009652EB">
      <w:r w:rsidRPr="002F1867">
        <w:t xml:space="preserve">Though the </w:t>
      </w:r>
      <w:r w:rsidR="002F1867">
        <w:t>proposed bill i</w:t>
      </w:r>
      <w:r w:rsidRPr="002F1867">
        <w:t xml:space="preserve">s in its early stages, it has strong bipartisan support and </w:t>
      </w:r>
      <w:proofErr w:type="gramStart"/>
      <w:r w:rsidRPr="002F1867">
        <w:t>has been endorsed</w:t>
      </w:r>
      <w:proofErr w:type="gramEnd"/>
      <w:r w:rsidRPr="002F1867">
        <w:t xml:space="preserve"> by Microsoft Corporation</w:t>
      </w:r>
      <w:r w:rsidR="002F1867">
        <w:t>, one of the largest corporate employers in the United States.</w:t>
      </w:r>
      <w:r w:rsidR="00750ACC">
        <w:t xml:space="preserve">  In fact, Microsoft, the first Fortune 100 </w:t>
      </w:r>
      <w:proofErr w:type="gramStart"/>
      <w:r w:rsidR="00750ACC">
        <w:t>company</w:t>
      </w:r>
      <w:proofErr w:type="gramEnd"/>
      <w:r w:rsidR="00750ACC">
        <w:t xml:space="preserve"> to endorse the bill, already</w:t>
      </w:r>
      <w:r w:rsidR="00900C3A">
        <w:t xml:space="preserve"> has</w:t>
      </w:r>
      <w:r w:rsidR="00750ACC">
        <w:t xml:space="preserve"> announced that it will be ending its own arbitration requirements for sexual harassment claims.  In doing so, Microsoft perhaps sets the stage for other employers to drop their current practice even if the bill does not pass.</w:t>
      </w:r>
    </w:p>
    <w:p w14:paraId="50E5A9B4" w14:textId="77777777" w:rsidR="00750ACC" w:rsidRDefault="00750ACC" w:rsidP="009652EB"/>
    <w:p w14:paraId="323D3679" w14:textId="144ABB41" w:rsidR="009652EB" w:rsidRPr="002F1867" w:rsidRDefault="00A54CD5" w:rsidP="009652EB">
      <w:r w:rsidRPr="002F1867">
        <w:t xml:space="preserve">Should Congress adopt the </w:t>
      </w:r>
      <w:r w:rsidR="00C57A52" w:rsidRPr="002F1867">
        <w:t>bill</w:t>
      </w:r>
      <w:r w:rsidRPr="002F1867">
        <w:t xml:space="preserve">, it would </w:t>
      </w:r>
      <w:r w:rsidR="009652EB" w:rsidRPr="002F1867">
        <w:t>jeopardize millions of arbitration agreements</w:t>
      </w:r>
      <w:r w:rsidRPr="002F1867">
        <w:t xml:space="preserve"> that require arbitration for sexual harassment claims.  Of course, these agreements are already in jeopardy, pending the Supreme Court’s decision on whether the agreements violate federal labor law.</w:t>
      </w:r>
      <w:r w:rsidR="00CA0525" w:rsidRPr="002F1867">
        <w:t xml:space="preserve">  While the legality of these agreements is currently still intact, the courts and now Congress are considering substantial revisions that would greatly </w:t>
      </w:r>
      <w:r w:rsidR="002512EC">
        <w:t xml:space="preserve">alter the current preference </w:t>
      </w:r>
      <w:r w:rsidR="00CA0525" w:rsidRPr="002F1867">
        <w:t>towards arbitration</w:t>
      </w:r>
      <w:r w:rsidR="00E16BF0" w:rsidRPr="002F1867">
        <w:t xml:space="preserve">.  Accordingly, employers and employees alike should be aware of and </w:t>
      </w:r>
      <w:r w:rsidR="009652EB" w:rsidRPr="002F1867">
        <w:t>pay close attention to the</w:t>
      </w:r>
      <w:r w:rsidR="00E16BF0" w:rsidRPr="002F1867">
        <w:t>se developments, as their rights regarding work-related disputes ma</w:t>
      </w:r>
      <w:r w:rsidR="002512EC">
        <w:t>y</w:t>
      </w:r>
      <w:r w:rsidR="00E16BF0" w:rsidRPr="002F1867">
        <w:t xml:space="preserve"> quickly change.</w:t>
      </w:r>
      <w:r w:rsidR="009652EB" w:rsidRPr="002F1867">
        <w:t xml:space="preserve"> </w:t>
      </w:r>
    </w:p>
    <w:p w14:paraId="715F8710" w14:textId="77777777" w:rsidR="009652EB" w:rsidRPr="002F1867" w:rsidRDefault="009652EB" w:rsidP="009652EB"/>
    <w:p w14:paraId="78CD591C" w14:textId="77777777" w:rsidR="00543D94" w:rsidRPr="002F1867" w:rsidRDefault="00543D94" w:rsidP="00543D94">
      <w:r w:rsidRPr="002F1867">
        <w:rPr>
          <w:i/>
          <w:iCs/>
        </w:rPr>
        <w:t xml:space="preserve">Gregory T. Laudadio, Esq. </w:t>
      </w:r>
      <w:proofErr w:type="gramStart"/>
      <w:r w:rsidRPr="002F1867">
        <w:rPr>
          <w:i/>
          <w:iCs/>
        </w:rPr>
        <w:t>is admitted</w:t>
      </w:r>
      <w:proofErr w:type="gramEnd"/>
      <w:r w:rsidRPr="002F1867">
        <w:rPr>
          <w:i/>
          <w:iCs/>
        </w:rPr>
        <w:t xml:space="preserve"> to practice in Pennsylvania.  He </w:t>
      </w:r>
      <w:proofErr w:type="gramStart"/>
      <w:r w:rsidRPr="002F1867">
        <w:rPr>
          <w:i/>
          <w:iCs/>
        </w:rPr>
        <w:t>may be reached</w:t>
      </w:r>
      <w:proofErr w:type="gramEnd"/>
      <w:r w:rsidRPr="002F1867">
        <w:rPr>
          <w:i/>
          <w:iCs/>
        </w:rPr>
        <w:t xml:space="preserve"> at 610-408-2052, or at glaudadio@rubinfortunato.com. </w:t>
      </w:r>
    </w:p>
    <w:p w14:paraId="78E08160" w14:textId="77777777" w:rsidR="009652EB" w:rsidRPr="002F1867" w:rsidRDefault="009652EB" w:rsidP="009652EB"/>
    <w:p w14:paraId="57D049F7" w14:textId="77777777" w:rsidR="00965DB0" w:rsidRPr="002F1867" w:rsidRDefault="00965DB0" w:rsidP="009652EB"/>
    <w:sectPr w:rsidR="00965DB0" w:rsidRPr="002F1867" w:rsidSect="008B298E">
      <w:footerReference w:type="default" r:id="rId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B01F4" w14:textId="77777777" w:rsidR="00C02FB4" w:rsidRDefault="00C02FB4" w:rsidP="00C02FB4">
      <w:r>
        <w:separator/>
      </w:r>
    </w:p>
  </w:endnote>
  <w:endnote w:type="continuationSeparator" w:id="0">
    <w:p w14:paraId="68BC9087" w14:textId="77777777" w:rsidR="00C02FB4" w:rsidRDefault="00C02FB4" w:rsidP="00C0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BB0E4" w14:textId="77777777" w:rsidR="009652EB" w:rsidRDefault="009652EB" w:rsidP="008B298E">
    <w:pPr>
      <w:pStyle w:val="Default"/>
    </w:pPr>
  </w:p>
  <w:p w14:paraId="7E2E005A" w14:textId="77777777" w:rsidR="009652EB" w:rsidRDefault="009652EB" w:rsidP="008B298E">
    <w:pPr>
      <w:pStyle w:val="Footer"/>
      <w:jc w:val="center"/>
    </w:pPr>
    <w:r>
      <w:t xml:space="preserve"> </w:t>
    </w:r>
    <w:r>
      <w:rPr>
        <w:sz w:val="20"/>
        <w:szCs w:val="20"/>
      </w:rPr>
      <w:t>This newsletter is designed to provide one perspective regarding recent legal developments, and is not intended to serve as legal advice, nor does it establish an attorney-client relationship with any reader of the article where one does not exist.  Always consult an attorney with specific legal issues.</w:t>
    </w:r>
  </w:p>
  <w:p w14:paraId="45D0819E" w14:textId="77777777" w:rsidR="009652EB" w:rsidRDefault="00965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03A50" w14:textId="77777777" w:rsidR="00C02FB4" w:rsidRDefault="00C02FB4" w:rsidP="008B298E">
    <w:pPr>
      <w:pStyle w:val="Default"/>
    </w:pPr>
  </w:p>
  <w:p w14:paraId="7AB9ECCB" w14:textId="77777777" w:rsidR="00C02FB4" w:rsidRDefault="00C02FB4" w:rsidP="008B298E">
    <w:pPr>
      <w:pStyle w:val="Footer"/>
      <w:jc w:val="center"/>
    </w:pPr>
    <w:r>
      <w:t xml:space="preserve"> </w:t>
    </w:r>
    <w:r>
      <w:rPr>
        <w:sz w:val="20"/>
        <w:szCs w:val="20"/>
      </w:rPr>
      <w:t>This newsletter is designed to provide one perspective regarding recent legal developments, and is not intended to serve as legal advice, nor does it establish an attorney-client relationship with any reader of the article where one does not exist.  Always consult an attorney with specific legal issues.</w:t>
    </w:r>
  </w:p>
  <w:p w14:paraId="49BE30DD" w14:textId="77777777" w:rsidR="00C02FB4" w:rsidRDefault="00C02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BCF47" w14:textId="77777777" w:rsidR="00C02FB4" w:rsidRDefault="00C02FB4" w:rsidP="00C02FB4">
      <w:r>
        <w:separator/>
      </w:r>
    </w:p>
  </w:footnote>
  <w:footnote w:type="continuationSeparator" w:id="0">
    <w:p w14:paraId="2408C51B" w14:textId="77777777" w:rsidR="00C02FB4" w:rsidRDefault="00C02FB4" w:rsidP="00C02FB4">
      <w:r>
        <w:continuationSeparator/>
      </w:r>
    </w:p>
  </w:footnote>
  <w:footnote w:id="1">
    <w:p w14:paraId="0C68F743" w14:textId="77777777" w:rsidR="009324E2" w:rsidRPr="00117143" w:rsidRDefault="009324E2">
      <w:pPr>
        <w:pStyle w:val="FootnoteText"/>
        <w:rPr>
          <w:sz w:val="20"/>
        </w:rPr>
      </w:pPr>
      <w:r w:rsidRPr="00117143">
        <w:rPr>
          <w:rStyle w:val="FootnoteReference"/>
          <w:sz w:val="20"/>
        </w:rPr>
        <w:footnoteRef/>
      </w:r>
      <w:r w:rsidRPr="00117143">
        <w:rPr>
          <w:sz w:val="20"/>
        </w:rPr>
        <w:t xml:space="preserve"> </w:t>
      </w:r>
      <w:r w:rsidRPr="00996915">
        <w:rPr>
          <w:sz w:val="20"/>
        </w:rPr>
        <w:t>http://www.rubinfortunato.com/article/fire-supreme-court-review-mandatory-employee-class-action-waivers/</w:t>
      </w:r>
      <w:r w:rsidRPr="00117143">
        <w:rPr>
          <w:sz w:val="20"/>
        </w:rPr>
        <w:t xml:space="preserve">. </w:t>
      </w:r>
    </w:p>
  </w:footnote>
  <w:footnote w:id="2">
    <w:p w14:paraId="31E26E7A" w14:textId="77777777" w:rsidR="009652EB" w:rsidRPr="00117143" w:rsidRDefault="009652EB" w:rsidP="009652EB">
      <w:pPr>
        <w:pStyle w:val="FootnoteText"/>
        <w:rPr>
          <w:sz w:val="20"/>
        </w:rPr>
      </w:pPr>
      <w:r w:rsidRPr="00117143">
        <w:rPr>
          <w:rStyle w:val="FootnoteReference"/>
          <w:sz w:val="20"/>
        </w:rPr>
        <w:footnoteRef/>
      </w:r>
      <w:r w:rsidRPr="00117143">
        <w:rPr>
          <w:sz w:val="20"/>
        </w:rPr>
        <w:t xml:space="preserve">  </w:t>
      </w:r>
      <w:r w:rsidR="008C3505" w:rsidRPr="00117143">
        <w:rPr>
          <w:sz w:val="20"/>
          <w:u w:val="single"/>
        </w:rPr>
        <w:t>See</w:t>
      </w:r>
      <w:r w:rsidR="008C3505" w:rsidRPr="00117143">
        <w:rPr>
          <w:i/>
          <w:sz w:val="20"/>
        </w:rPr>
        <w:t xml:space="preserve"> </w:t>
      </w:r>
      <w:r w:rsidRPr="00117143">
        <w:rPr>
          <w:sz w:val="20"/>
          <w:u w:val="single"/>
        </w:rPr>
        <w:t>NLRB v. Murphy Oil USA, Inc.</w:t>
      </w:r>
      <w:r w:rsidRPr="00117143">
        <w:rPr>
          <w:sz w:val="20"/>
        </w:rPr>
        <w:t xml:space="preserve"> (No. 16-307); </w:t>
      </w:r>
      <w:r w:rsidRPr="00117143">
        <w:rPr>
          <w:sz w:val="20"/>
          <w:u w:val="single"/>
        </w:rPr>
        <w:t>Epic Systems Corporation v. Lewis</w:t>
      </w:r>
      <w:r w:rsidRPr="00117143">
        <w:rPr>
          <w:sz w:val="20"/>
        </w:rPr>
        <w:t xml:space="preserve"> (No. 16-285); </w:t>
      </w:r>
      <w:r w:rsidRPr="00117143">
        <w:rPr>
          <w:sz w:val="20"/>
          <w:u w:val="single"/>
        </w:rPr>
        <w:t>Ernst and Young LLP v. Morris</w:t>
      </w:r>
      <w:r w:rsidRPr="00117143">
        <w:rPr>
          <w:sz w:val="20"/>
        </w:rPr>
        <w:t xml:space="preserve"> (No. 16-300).</w:t>
      </w:r>
    </w:p>
  </w:footnote>
  <w:footnote w:id="3">
    <w:p w14:paraId="56B50D72" w14:textId="77777777" w:rsidR="009652EB" w:rsidRPr="00117143" w:rsidRDefault="009652EB" w:rsidP="009652EB">
      <w:pPr>
        <w:pStyle w:val="FootnoteText"/>
        <w:rPr>
          <w:sz w:val="20"/>
        </w:rPr>
      </w:pPr>
      <w:r w:rsidRPr="00117143">
        <w:rPr>
          <w:rStyle w:val="FootnoteReference"/>
          <w:sz w:val="20"/>
        </w:rPr>
        <w:footnoteRef/>
      </w:r>
      <w:r w:rsidRPr="00117143">
        <w:rPr>
          <w:sz w:val="20"/>
        </w:rPr>
        <w:t xml:space="preserve"> </w:t>
      </w:r>
      <w:r w:rsidRPr="00117143">
        <w:rPr>
          <w:sz w:val="20"/>
          <w:u w:val="single"/>
        </w:rPr>
        <w:t>See</w:t>
      </w:r>
      <w:r w:rsidRPr="00117143">
        <w:rPr>
          <w:sz w:val="20"/>
        </w:rPr>
        <w:t xml:space="preserve"> </w:t>
      </w:r>
      <w:r w:rsidRPr="00117143">
        <w:rPr>
          <w:sz w:val="20"/>
          <w:u w:val="single"/>
        </w:rPr>
        <w:t>Gilmer v. Interstate/Johnson Lane Corp.</w:t>
      </w:r>
      <w:r w:rsidRPr="00117143">
        <w:rPr>
          <w:sz w:val="20"/>
        </w:rPr>
        <w:t>, 500 U.S. 20 (1991).</w:t>
      </w:r>
    </w:p>
  </w:footnote>
  <w:footnote w:id="4">
    <w:p w14:paraId="16B0A1D5" w14:textId="01E841F6" w:rsidR="00CE6E9D" w:rsidRPr="00D0571F" w:rsidRDefault="00CE6E9D" w:rsidP="00D0571F">
      <w:pPr>
        <w:pStyle w:val="FootnoteText"/>
        <w:rPr>
          <w:sz w:val="20"/>
        </w:rPr>
      </w:pPr>
      <w:r w:rsidRPr="00D0571F">
        <w:rPr>
          <w:rStyle w:val="FootnoteReference"/>
          <w:sz w:val="20"/>
        </w:rPr>
        <w:footnoteRef/>
      </w:r>
      <w:r w:rsidRPr="00D0571F">
        <w:rPr>
          <w:sz w:val="20"/>
        </w:rPr>
        <w:t xml:space="preserve"> </w:t>
      </w:r>
      <w:r w:rsidR="00A466FF">
        <w:rPr>
          <w:sz w:val="20"/>
        </w:rPr>
        <w:t xml:space="preserve">Some industries already have rules in place to preserve an employee’s right to go to court with certain claims.  For example, people associated with the Financial Industry Regulatory Authority </w:t>
      </w:r>
      <w:proofErr w:type="gramStart"/>
      <w:r w:rsidR="00A466FF">
        <w:rPr>
          <w:sz w:val="20"/>
        </w:rPr>
        <w:t>are governed</w:t>
      </w:r>
      <w:proofErr w:type="gramEnd"/>
      <w:r w:rsidR="00A466FF">
        <w:rPr>
          <w:sz w:val="20"/>
        </w:rPr>
        <w:t xml:space="preserve"> by Rule 13201, which states: </w:t>
      </w:r>
      <w:r w:rsidR="00D0571F" w:rsidRPr="00D0571F">
        <w:rPr>
          <w:sz w:val="20"/>
        </w:rPr>
        <w:t xml:space="preserve">“A claim alleging employment discrimination, including sexual harassment, in violation of a statute, is not required to be arbitrated under the Code. </w:t>
      </w:r>
      <w:r w:rsidR="0054256E">
        <w:rPr>
          <w:sz w:val="20"/>
        </w:rPr>
        <w:t xml:space="preserve"> </w:t>
      </w:r>
      <w:r w:rsidR="00D0571F" w:rsidRPr="00D0571F">
        <w:rPr>
          <w:sz w:val="20"/>
        </w:rPr>
        <w:t>Such a claim may be arbitrated only if the parties have agreed to arbitrate it, either before or after the dispute arose.”</w:t>
      </w:r>
    </w:p>
  </w:footnote>
  <w:footnote w:id="5">
    <w:p w14:paraId="7AD1A10F" w14:textId="77777777" w:rsidR="009652EB" w:rsidRPr="00117143" w:rsidRDefault="009652EB" w:rsidP="009652EB">
      <w:pPr>
        <w:pStyle w:val="FootnoteText"/>
        <w:rPr>
          <w:sz w:val="20"/>
        </w:rPr>
      </w:pPr>
      <w:r w:rsidRPr="00117143">
        <w:rPr>
          <w:rStyle w:val="FootnoteReference"/>
          <w:sz w:val="20"/>
        </w:rPr>
        <w:footnoteRef/>
      </w:r>
      <w:r w:rsidRPr="00117143">
        <w:rPr>
          <w:sz w:val="20"/>
        </w:rPr>
        <w:t xml:space="preserve"> </w:t>
      </w:r>
      <w:r w:rsidR="008C3505" w:rsidRPr="00117143">
        <w:rPr>
          <w:sz w:val="20"/>
          <w:u w:val="single"/>
        </w:rPr>
        <w:t>See</w:t>
      </w:r>
      <w:r w:rsidR="008C3505" w:rsidRPr="00117143">
        <w:rPr>
          <w:sz w:val="20"/>
        </w:rPr>
        <w:t xml:space="preserve"> </w:t>
      </w:r>
      <w:r w:rsidRPr="00117143">
        <w:rPr>
          <w:sz w:val="20"/>
        </w:rPr>
        <w:t xml:space="preserve">Alexander J.S. Colvin, </w:t>
      </w:r>
      <w:r w:rsidRPr="00117143">
        <w:rPr>
          <w:sz w:val="20"/>
          <w:u w:val="single"/>
        </w:rPr>
        <w:t>The Growing Use of Mandatory Arbitration</w:t>
      </w:r>
      <w:r w:rsidRPr="00117143">
        <w:rPr>
          <w:sz w:val="20"/>
        </w:rPr>
        <w:t xml:space="preserve">, </w:t>
      </w:r>
      <w:r w:rsidRPr="00117143">
        <w:rPr>
          <w:smallCaps/>
          <w:sz w:val="20"/>
        </w:rPr>
        <w:t>Econ. Pol’y J.</w:t>
      </w:r>
      <w:r w:rsidRPr="00117143">
        <w:rPr>
          <w:sz w:val="20"/>
        </w:rPr>
        <w:t xml:space="preserve">, September 27, 2017, at 1. </w:t>
      </w:r>
    </w:p>
  </w:footnote>
  <w:footnote w:id="6">
    <w:p w14:paraId="2441B308" w14:textId="77777777" w:rsidR="001D28E6" w:rsidRPr="00C33FF0" w:rsidRDefault="001D28E6" w:rsidP="001D28E6">
      <w:pPr>
        <w:pStyle w:val="FootnoteText"/>
        <w:rPr>
          <w:sz w:val="20"/>
        </w:rPr>
      </w:pPr>
      <w:r w:rsidRPr="00C33FF0">
        <w:rPr>
          <w:rStyle w:val="FootnoteReference"/>
          <w:sz w:val="20"/>
        </w:rPr>
        <w:footnoteRef/>
      </w:r>
      <w:r w:rsidRPr="00C33FF0">
        <w:rPr>
          <w:sz w:val="20"/>
        </w:rPr>
        <w:t xml:space="preserve"> Similar legislative efforts </w:t>
      </w:r>
      <w:proofErr w:type="gramStart"/>
      <w:r w:rsidRPr="00C33FF0">
        <w:rPr>
          <w:sz w:val="20"/>
        </w:rPr>
        <w:t>have been proposed</w:t>
      </w:r>
      <w:proofErr w:type="gramEnd"/>
      <w:r w:rsidRPr="00C33FF0">
        <w:rPr>
          <w:sz w:val="20"/>
        </w:rPr>
        <w:t xml:space="preserve"> at the state level as well.  New York Governor Andrew Cuomo recently announced that he </w:t>
      </w:r>
      <w:proofErr w:type="gramStart"/>
      <w:r w:rsidRPr="00C33FF0">
        <w:rPr>
          <w:sz w:val="20"/>
        </w:rPr>
        <w:t>will</w:t>
      </w:r>
      <w:proofErr w:type="gramEnd"/>
      <w:r w:rsidRPr="00C33FF0">
        <w:rPr>
          <w:sz w:val="20"/>
        </w:rPr>
        <w:t xml:space="preserve"> propose legislation to “prevent public dollars from being used to settle sexual harassment claims against individuals, void forced arbitration policies in employee contracts, and mandate that any companies that do business with the state disclose the number of sexual harassment adjudications and nondisclosure agreements they have executed.”  </w:t>
      </w:r>
      <w:r w:rsidRPr="00C33FF0">
        <w:rPr>
          <w:sz w:val="20"/>
          <w:u w:val="single"/>
        </w:rPr>
        <w:t>See</w:t>
      </w:r>
      <w:r w:rsidRPr="00C33FF0">
        <w:rPr>
          <w:sz w:val="20"/>
        </w:rPr>
        <w:t xml:space="preserve"> </w:t>
      </w:r>
      <w:r w:rsidRPr="00C33FF0">
        <w:rPr>
          <w:sz w:val="20"/>
          <w:u w:val="single"/>
        </w:rPr>
        <w:t>Governor Cuomo Unveils 18th Proposal of 2018 State of the State: Combat Sexual Harassment in the Workplace</w:t>
      </w:r>
      <w:r w:rsidRPr="00C33FF0">
        <w:rPr>
          <w:sz w:val="20"/>
        </w:rPr>
        <w:t xml:space="preserve">, https://www.governor.ny.gov/news/governor-cuomo-unveils-18th-proposal-2018-state-state-combat-sexual-harassment-workplace (last visited Jan. 3, 2018). </w:t>
      </w:r>
    </w:p>
  </w:footnote>
  <w:footnote w:id="7">
    <w:p w14:paraId="571CA3B3" w14:textId="77777777" w:rsidR="002F7E04" w:rsidRPr="00117143" w:rsidRDefault="002F7E04">
      <w:pPr>
        <w:pStyle w:val="FootnoteText"/>
        <w:rPr>
          <w:sz w:val="20"/>
        </w:rPr>
      </w:pPr>
      <w:r w:rsidRPr="00117143">
        <w:rPr>
          <w:rStyle w:val="FootnoteReference"/>
          <w:sz w:val="20"/>
        </w:rPr>
        <w:footnoteRef/>
      </w:r>
      <w:r w:rsidRPr="00117143">
        <w:rPr>
          <w:sz w:val="20"/>
        </w:rPr>
        <w:t xml:space="preserve"> </w:t>
      </w:r>
      <w:r w:rsidR="00117143" w:rsidRPr="00117143">
        <w:rPr>
          <w:sz w:val="20"/>
        </w:rPr>
        <w:t xml:space="preserve">Kat Greene, </w:t>
      </w:r>
      <w:r w:rsidR="00117143" w:rsidRPr="00117143">
        <w:rPr>
          <w:sz w:val="20"/>
          <w:u w:val="single"/>
        </w:rPr>
        <w:t>Mall Jewelry Giant Ensnared in Massive Sex Bias Pay Row</w:t>
      </w:r>
      <w:r w:rsidR="00117143" w:rsidRPr="00117143">
        <w:rPr>
          <w:sz w:val="20"/>
        </w:rPr>
        <w:t xml:space="preserve">, Law360, Feb. 27, 2017, https://www.law360.com/articles/896358/mall-jewelry-giant-ensnared-in-massive-sex-bias-pay-row. </w:t>
      </w:r>
      <w:r w:rsidRPr="00117143">
        <w:rPr>
          <w:sz w:val="20"/>
        </w:rPr>
        <w:t xml:space="preserve"> </w:t>
      </w:r>
    </w:p>
  </w:footnote>
  <w:footnote w:id="8">
    <w:p w14:paraId="00C0EF8F" w14:textId="77777777" w:rsidR="000C1E96" w:rsidRPr="00117143" w:rsidRDefault="000C1E96">
      <w:pPr>
        <w:pStyle w:val="FootnoteText"/>
        <w:rPr>
          <w:sz w:val="20"/>
        </w:rPr>
      </w:pPr>
      <w:r w:rsidRPr="00117143">
        <w:rPr>
          <w:rStyle w:val="FootnoteReference"/>
          <w:sz w:val="20"/>
        </w:rPr>
        <w:footnoteRef/>
      </w:r>
      <w:r w:rsidRPr="00117143">
        <w:rPr>
          <w:sz w:val="20"/>
        </w:rPr>
        <w:t xml:space="preserve"> </w:t>
      </w:r>
      <w:r w:rsidR="00117143">
        <w:rPr>
          <w:sz w:val="20"/>
        </w:rPr>
        <w:t xml:space="preserve">Vin </w:t>
      </w:r>
      <w:proofErr w:type="spellStart"/>
      <w:r w:rsidR="00117143">
        <w:rPr>
          <w:sz w:val="20"/>
        </w:rPr>
        <w:t>Gurrieri</w:t>
      </w:r>
      <w:proofErr w:type="spellEnd"/>
      <w:r w:rsidR="00117143">
        <w:rPr>
          <w:sz w:val="20"/>
        </w:rPr>
        <w:t xml:space="preserve">, </w:t>
      </w:r>
      <w:r w:rsidR="00117143">
        <w:rPr>
          <w:sz w:val="20"/>
          <w:u w:val="single"/>
        </w:rPr>
        <w:t>New Bill Would Carve Sex Harassment From Arbitration Pacts</w:t>
      </w:r>
      <w:r w:rsidR="00117143">
        <w:rPr>
          <w:sz w:val="20"/>
        </w:rPr>
        <w:t xml:space="preserve">, Law360, Dec. 6, 2017, </w:t>
      </w:r>
      <w:r w:rsidR="00117143" w:rsidRPr="00117143">
        <w:rPr>
          <w:sz w:val="20"/>
        </w:rPr>
        <w:t>https://www.law360.com/employment/articles/992051/new-bill-would-carve-sex-harassment-from-arbitration-pacts?nl_pk=b6ae1052-b7c1-4e1f-b4b5-8f05f23a249b&amp;utm_source=newsletter&amp;utm_medium=email&amp;utm_campaign=employment</w:t>
      </w:r>
      <w:r w:rsidR="00117143">
        <w:rPr>
          <w:sz w:val="20"/>
        </w:rPr>
        <w:t xml:space="preserve">. </w:t>
      </w:r>
      <w:r w:rsidR="00C57A52" w:rsidRPr="00117143">
        <w:rPr>
          <w:sz w:val="20"/>
        </w:rPr>
        <w:t xml:space="preserve"> </w:t>
      </w:r>
    </w:p>
  </w:footnote>
  <w:footnote w:id="9">
    <w:p w14:paraId="04B2F926" w14:textId="1A06D532" w:rsidR="00A37488" w:rsidRPr="00117143" w:rsidRDefault="00A37488">
      <w:pPr>
        <w:pStyle w:val="FootnoteText"/>
        <w:rPr>
          <w:sz w:val="20"/>
        </w:rPr>
      </w:pPr>
      <w:r w:rsidRPr="00117143">
        <w:rPr>
          <w:rStyle w:val="FootnoteReference"/>
          <w:sz w:val="20"/>
        </w:rPr>
        <w:footnoteRef/>
      </w:r>
      <w:r w:rsidRPr="00117143">
        <w:rPr>
          <w:sz w:val="20"/>
        </w:rPr>
        <w:t xml:space="preserve"> </w:t>
      </w:r>
      <w:r w:rsidRPr="00117143">
        <w:rPr>
          <w:sz w:val="20"/>
          <w:u w:val="single"/>
        </w:rPr>
        <w:t>See</w:t>
      </w:r>
      <w:r w:rsidRPr="00117143">
        <w:rPr>
          <w:sz w:val="20"/>
        </w:rPr>
        <w:t xml:space="preserve"> </w:t>
      </w:r>
      <w:r w:rsidRPr="00117143">
        <w:rPr>
          <w:sz w:val="20"/>
          <w:u w:val="single"/>
        </w:rPr>
        <w:t>supra</w:t>
      </w:r>
      <w:r w:rsidRPr="00117143">
        <w:rPr>
          <w:sz w:val="20"/>
        </w:rPr>
        <w:t xml:space="preserve"> note </w:t>
      </w:r>
      <w:r w:rsidRPr="00117143">
        <w:rPr>
          <w:sz w:val="20"/>
        </w:rPr>
        <w:fldChar w:fldCharType="begin"/>
      </w:r>
      <w:r w:rsidRPr="00117143">
        <w:rPr>
          <w:sz w:val="20"/>
        </w:rPr>
        <w:instrText xml:space="preserve"> NOTEREF _Ref501440848 \h </w:instrText>
      </w:r>
      <w:r w:rsidR="00117143">
        <w:rPr>
          <w:sz w:val="20"/>
        </w:rPr>
        <w:instrText xml:space="preserve"> \* MERGEFORMAT </w:instrText>
      </w:r>
      <w:r w:rsidRPr="00117143">
        <w:rPr>
          <w:sz w:val="20"/>
        </w:rPr>
      </w:r>
      <w:r w:rsidRPr="00117143">
        <w:rPr>
          <w:sz w:val="20"/>
        </w:rPr>
        <w:fldChar w:fldCharType="separate"/>
      </w:r>
      <w:r w:rsidR="0054256E">
        <w:rPr>
          <w:sz w:val="20"/>
        </w:rPr>
        <w:t>2</w:t>
      </w:r>
      <w:r w:rsidRPr="00117143">
        <w:rPr>
          <w:sz w:val="20"/>
        </w:rPr>
        <w:fldChar w:fldCharType="end"/>
      </w:r>
      <w:r w:rsidRPr="00117143">
        <w:rPr>
          <w:sz w:val="20"/>
        </w:rPr>
        <w:t xml:space="preserve"> and accompanying text. </w:t>
      </w:r>
    </w:p>
  </w:footnote>
  <w:footnote w:id="10">
    <w:p w14:paraId="610CE31F" w14:textId="77777777" w:rsidR="00A37488" w:rsidRPr="00117143" w:rsidRDefault="00A37488">
      <w:pPr>
        <w:pStyle w:val="FootnoteText"/>
        <w:rPr>
          <w:sz w:val="20"/>
        </w:rPr>
      </w:pPr>
      <w:r w:rsidRPr="00117143">
        <w:rPr>
          <w:rStyle w:val="FootnoteReference"/>
          <w:sz w:val="20"/>
        </w:rPr>
        <w:footnoteRef/>
      </w:r>
      <w:r w:rsidRPr="00117143">
        <w:rPr>
          <w:sz w:val="20"/>
        </w:rPr>
        <w:t xml:space="preserve"> </w:t>
      </w:r>
      <w:r w:rsidR="00BD3C4C">
        <w:rPr>
          <w:sz w:val="20"/>
          <w:u w:val="single"/>
        </w:rPr>
        <w:t>See</w:t>
      </w:r>
      <w:r w:rsidR="00BD3C4C">
        <w:rPr>
          <w:sz w:val="20"/>
        </w:rPr>
        <w:t xml:space="preserve"> </w:t>
      </w:r>
      <w:r w:rsidR="00BD3C4C" w:rsidRPr="00BD3C4C">
        <w:rPr>
          <w:sz w:val="20"/>
          <w:u w:val="single"/>
        </w:rPr>
        <w:t>Jock v. Sterling Jewelers Inc.</w:t>
      </w:r>
      <w:r w:rsidR="00BD3C4C">
        <w:rPr>
          <w:sz w:val="20"/>
        </w:rPr>
        <w:t xml:space="preserve">, 188 F. Supp. 3d 320 (S.D.N.Y. 2016).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B4"/>
    <w:rsid w:val="000A6278"/>
    <w:rsid w:val="000C1E96"/>
    <w:rsid w:val="000F49E7"/>
    <w:rsid w:val="00117143"/>
    <w:rsid w:val="00121D5B"/>
    <w:rsid w:val="00121DBF"/>
    <w:rsid w:val="00134DCA"/>
    <w:rsid w:val="001D28E6"/>
    <w:rsid w:val="002212E8"/>
    <w:rsid w:val="002512EC"/>
    <w:rsid w:val="002F1867"/>
    <w:rsid w:val="002F7E04"/>
    <w:rsid w:val="00343D4C"/>
    <w:rsid w:val="003B3172"/>
    <w:rsid w:val="0054256E"/>
    <w:rsid w:val="00543D94"/>
    <w:rsid w:val="005543F3"/>
    <w:rsid w:val="00572309"/>
    <w:rsid w:val="005B59BE"/>
    <w:rsid w:val="0073627E"/>
    <w:rsid w:val="00750ACC"/>
    <w:rsid w:val="008C3505"/>
    <w:rsid w:val="00900C3A"/>
    <w:rsid w:val="009324E2"/>
    <w:rsid w:val="009652EB"/>
    <w:rsid w:val="00965DB0"/>
    <w:rsid w:val="00996915"/>
    <w:rsid w:val="00A37488"/>
    <w:rsid w:val="00A42B6A"/>
    <w:rsid w:val="00A466FF"/>
    <w:rsid w:val="00A54CD5"/>
    <w:rsid w:val="00A6477C"/>
    <w:rsid w:val="00A83B7D"/>
    <w:rsid w:val="00B204F1"/>
    <w:rsid w:val="00B55F38"/>
    <w:rsid w:val="00BD3C4C"/>
    <w:rsid w:val="00C02FB4"/>
    <w:rsid w:val="00C33FF0"/>
    <w:rsid w:val="00C57A52"/>
    <w:rsid w:val="00CA0525"/>
    <w:rsid w:val="00CE6D3C"/>
    <w:rsid w:val="00CE6E9D"/>
    <w:rsid w:val="00D040B7"/>
    <w:rsid w:val="00D0571F"/>
    <w:rsid w:val="00E16BF0"/>
    <w:rsid w:val="00E3662D"/>
    <w:rsid w:val="00FB2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FB47E"/>
  <w15:chartTrackingRefBased/>
  <w15:docId w15:val="{32FA6073-4DB4-4A9E-839C-6F1BB0B9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F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C02FB4"/>
    <w:rPr>
      <w:vertAlign w:val="superscript"/>
    </w:rPr>
  </w:style>
  <w:style w:type="paragraph" w:styleId="FootnoteText">
    <w:name w:val="footnote text"/>
    <w:basedOn w:val="Normal"/>
    <w:link w:val="FootnoteTextChar"/>
    <w:rsid w:val="00C02FB4"/>
    <w:rPr>
      <w:sz w:val="22"/>
      <w:szCs w:val="20"/>
    </w:rPr>
  </w:style>
  <w:style w:type="character" w:customStyle="1" w:styleId="FootnoteTextChar">
    <w:name w:val="Footnote Text Char"/>
    <w:basedOn w:val="DefaultParagraphFont"/>
    <w:link w:val="FootnoteText"/>
    <w:rsid w:val="00C02FB4"/>
    <w:rPr>
      <w:rFonts w:ascii="Times New Roman" w:eastAsia="Times New Roman" w:hAnsi="Times New Roman" w:cs="Times New Roman"/>
      <w:szCs w:val="20"/>
    </w:rPr>
  </w:style>
  <w:style w:type="paragraph" w:styleId="Footer">
    <w:name w:val="footer"/>
    <w:basedOn w:val="Normal"/>
    <w:link w:val="FooterChar"/>
    <w:uiPriority w:val="99"/>
    <w:unhideWhenUsed/>
    <w:rsid w:val="00C02FB4"/>
    <w:pPr>
      <w:tabs>
        <w:tab w:val="center" w:pos="4680"/>
        <w:tab w:val="right" w:pos="9360"/>
      </w:tabs>
    </w:pPr>
  </w:style>
  <w:style w:type="character" w:customStyle="1" w:styleId="FooterChar">
    <w:name w:val="Footer Char"/>
    <w:basedOn w:val="DefaultParagraphFont"/>
    <w:link w:val="Footer"/>
    <w:uiPriority w:val="99"/>
    <w:rsid w:val="00C02FB4"/>
    <w:rPr>
      <w:rFonts w:ascii="Times New Roman" w:eastAsia="Times New Roman" w:hAnsi="Times New Roman" w:cs="Times New Roman"/>
      <w:sz w:val="24"/>
      <w:szCs w:val="24"/>
    </w:rPr>
  </w:style>
  <w:style w:type="paragraph" w:customStyle="1" w:styleId="Default">
    <w:name w:val="Default"/>
    <w:rsid w:val="00C02F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
    <w:uiPriority w:val="99"/>
    <w:unhideWhenUsed/>
    <w:rsid w:val="009652EB"/>
    <w:rPr>
      <w:sz w:val="20"/>
      <w:szCs w:val="20"/>
    </w:rPr>
  </w:style>
  <w:style w:type="character" w:customStyle="1" w:styleId="CommentTextChar">
    <w:name w:val="Comment Text Char"/>
    <w:basedOn w:val="DefaultParagraphFont"/>
    <w:link w:val="CommentText"/>
    <w:uiPriority w:val="99"/>
    <w:rsid w:val="009652E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324E2"/>
    <w:rPr>
      <w:color w:val="0563C1" w:themeColor="hyperlink"/>
      <w:u w:val="single"/>
    </w:rPr>
  </w:style>
  <w:style w:type="character" w:styleId="FollowedHyperlink">
    <w:name w:val="FollowedHyperlink"/>
    <w:basedOn w:val="DefaultParagraphFont"/>
    <w:uiPriority w:val="99"/>
    <w:semiHidden/>
    <w:unhideWhenUsed/>
    <w:rsid w:val="00117143"/>
    <w:rPr>
      <w:color w:val="954F72" w:themeColor="followedHyperlink"/>
      <w:u w:val="single"/>
    </w:rPr>
  </w:style>
  <w:style w:type="paragraph" w:styleId="BalloonText">
    <w:name w:val="Balloon Text"/>
    <w:basedOn w:val="Normal"/>
    <w:link w:val="BalloonTextChar"/>
    <w:uiPriority w:val="99"/>
    <w:semiHidden/>
    <w:unhideWhenUsed/>
    <w:rsid w:val="000F49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9E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21DBF"/>
    <w:rPr>
      <w:sz w:val="16"/>
      <w:szCs w:val="16"/>
    </w:rPr>
  </w:style>
  <w:style w:type="paragraph" w:styleId="CommentSubject">
    <w:name w:val="annotation subject"/>
    <w:basedOn w:val="CommentText"/>
    <w:next w:val="CommentText"/>
    <w:link w:val="CommentSubjectChar"/>
    <w:uiPriority w:val="99"/>
    <w:semiHidden/>
    <w:unhideWhenUsed/>
    <w:rsid w:val="00121DBF"/>
    <w:rPr>
      <w:b/>
      <w:bCs/>
    </w:rPr>
  </w:style>
  <w:style w:type="character" w:customStyle="1" w:styleId="CommentSubjectChar">
    <w:name w:val="Comment Subject Char"/>
    <w:basedOn w:val="CommentTextChar"/>
    <w:link w:val="CommentSubject"/>
    <w:uiPriority w:val="99"/>
    <w:semiHidden/>
    <w:rsid w:val="00121DB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534116">
      <w:bodyDiv w:val="1"/>
      <w:marLeft w:val="0"/>
      <w:marRight w:val="0"/>
      <w:marTop w:val="0"/>
      <w:marBottom w:val="0"/>
      <w:divBdr>
        <w:top w:val="none" w:sz="0" w:space="0" w:color="auto"/>
        <w:left w:val="none" w:sz="0" w:space="0" w:color="auto"/>
        <w:bottom w:val="none" w:sz="0" w:space="0" w:color="auto"/>
        <w:right w:val="none" w:sz="0" w:space="0" w:color="auto"/>
      </w:divBdr>
    </w:div>
    <w:div w:id="188875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27906-D992-4E74-BADC-EA655058E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4892</Characters>
  <Application>Microsoft Office Word</Application>
  <DocSecurity>0</DocSecurity>
  <PresentationFormat/>
  <Lines>40</Lines>
  <Paragraphs>11</Paragraphs>
  <ScaleCrop>false</ScaleCrop>
  <HeadingPairs>
    <vt:vector size="2" baseType="variant">
      <vt:variant>
        <vt:lpstr>Title</vt:lpstr>
      </vt:variant>
      <vt:variant>
        <vt:i4>1</vt:i4>
      </vt:variant>
    </vt:vector>
  </HeadingPairs>
  <TitlesOfParts>
    <vt:vector size="1" baseType="lpstr">
      <vt:lpstr>Sexual Harassment Client Alert (01087883-2).DOCX</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Harassment Client Alert (01087883-2).DOCX</dc:title>
  <dc:subject/>
  <dc:creator>Laudadio, Gregory T.</dc:creator>
  <cp:keywords/>
  <dc:description/>
  <cp:lastModifiedBy>Oswald, Tom F.</cp:lastModifiedBy>
  <cp:revision>2</cp:revision>
  <cp:lastPrinted>2017-12-19T21:45:00Z</cp:lastPrinted>
  <dcterms:created xsi:type="dcterms:W3CDTF">2018-01-03T15:12:00Z</dcterms:created>
  <dcterms:modified xsi:type="dcterms:W3CDTF">2018-01-03T15:12:00Z</dcterms:modified>
</cp:coreProperties>
</file>